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11FF3" w14:textId="0E3A414B" w:rsidR="00E54CEA" w:rsidRPr="006F5FF5" w:rsidRDefault="00E54CEA" w:rsidP="00E54CE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3GPP TSG-RAN WG3 Meeting #105</w:t>
      </w:r>
      <w:r w:rsidRPr="006F5FF5">
        <w:rPr>
          <w:b/>
          <w:i/>
          <w:noProof/>
          <w:sz w:val="24"/>
          <w:szCs w:val="28"/>
        </w:rPr>
        <w:tab/>
      </w:r>
      <w:r w:rsidRPr="006F5FF5">
        <w:rPr>
          <w:b/>
          <w:noProof/>
          <w:sz w:val="28"/>
          <w:szCs w:val="28"/>
        </w:rPr>
        <w:t>R3-1937</w:t>
      </w:r>
      <w:r>
        <w:rPr>
          <w:b/>
          <w:noProof/>
          <w:sz w:val="28"/>
          <w:szCs w:val="28"/>
        </w:rPr>
        <w:t>48</w:t>
      </w:r>
    </w:p>
    <w:p w14:paraId="2FF3A70A" w14:textId="77777777" w:rsidR="00E54CEA" w:rsidRPr="00A56773" w:rsidRDefault="00E54CEA" w:rsidP="00E54CEA">
      <w:pPr>
        <w:pStyle w:val="CRCoverPage"/>
        <w:outlineLvl w:val="0"/>
        <w:rPr>
          <w:b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Ljubljana, Slovenia, August 26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– 30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E54CEA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</w:rPr>
      </w:pPr>
    </w:p>
    <w:p w14:paraId="07723AA5" w14:textId="6F2C4749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E54CEA">
        <w:rPr>
          <w:rFonts w:asciiTheme="minorHAnsi" w:hAnsiTheme="minorHAnsi" w:cstheme="minorHAnsi"/>
          <w:szCs w:val="22"/>
          <w:lang w:val="en-US"/>
        </w:rPr>
        <w:t>13.2.5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14CFFFDC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4F1070">
        <w:rPr>
          <w:rFonts w:asciiTheme="minorHAnsi" w:hAnsiTheme="minorHAnsi" w:cstheme="minorHAnsi"/>
          <w:szCs w:val="22"/>
          <w:lang w:val="en-US"/>
        </w:rPr>
        <w:t>Agreement</w:t>
      </w:r>
      <w:bookmarkStart w:id="0" w:name="_GoBack"/>
      <w:bookmarkEnd w:id="0"/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5B849F75" w14:textId="77777777" w:rsidR="00726ADA" w:rsidRDefault="00FD7B41" w:rsidP="00275124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</w:t>
      </w:r>
      <w:r w:rsidR="00074935">
        <w:rPr>
          <w:rFonts w:asciiTheme="minorHAnsi" w:hAnsiTheme="minorHAnsi" w:cstheme="minorHAnsi"/>
          <w:sz w:val="22"/>
          <w:szCs w:val="22"/>
          <w:lang w:val="en-US"/>
        </w:rPr>
        <w:t xml:space="preserve"> the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</w:t>
      </w:r>
    </w:p>
    <w:p w14:paraId="050B1EE1" w14:textId="576BBED4" w:rsidR="00267CC5" w:rsidRPr="00275124" w:rsidRDefault="00B82194" w:rsidP="00275124">
      <w:pPr>
        <w:jc w:val="left"/>
        <w:rPr>
          <w:rFonts w:asciiTheme="minorHAnsi" w:hAnsiTheme="minorHAnsi" w:cstheme="minorHAnsi"/>
          <w:lang w:val="en-US"/>
        </w:rPr>
      </w:pP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6DC270BC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As part of the IAB node integration</w:t>
      </w:r>
      <w:r w:rsidR="00726ADA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  <w:r w:rsidR="00384776">
        <w:rPr>
          <w:rFonts w:asciiTheme="minorHAnsi" w:hAnsiTheme="minorHAnsi" w:cstheme="minorHAnsi"/>
          <w:sz w:val="22"/>
          <w:lang w:val="en-US"/>
        </w:rPr>
        <w:t xml:space="preserve">Other methods should not be excluded.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8EC195D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>can be provided based on DSCP</w:t>
      </w:r>
      <w:r w:rsidR="009F48E6">
        <w:rPr>
          <w:rFonts w:asciiTheme="minorHAnsi" w:hAnsiTheme="minorHAnsi" w:cstheme="minorHAnsi"/>
          <w:sz w:val="22"/>
          <w:lang w:val="en-US"/>
        </w:rPr>
        <w:t xml:space="preserve"> where the connected nodes mark different </w:t>
      </w:r>
      <w:r w:rsidR="00BD1114">
        <w:rPr>
          <w:rFonts w:asciiTheme="minorHAnsi" w:hAnsiTheme="minorHAnsi" w:cstheme="minorHAnsi"/>
          <w:sz w:val="22"/>
          <w:lang w:val="en-US"/>
        </w:rPr>
        <w:t>flows with DSCP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the DSCP to </w:t>
      </w:r>
      <w:r w:rsidR="004B623C">
        <w:rPr>
          <w:rFonts w:asciiTheme="minorHAnsi" w:hAnsiTheme="minorHAnsi" w:cstheme="minorHAnsi"/>
          <w:sz w:val="22"/>
          <w:lang w:val="en-US"/>
        </w:rPr>
        <w:t>BH RLC channels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673F4799" w14:textId="0743537C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>be used to support LTE eNBs at the IAB site. In this case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</w:t>
      </w:r>
      <w:r w:rsidR="00B67105">
        <w:rPr>
          <w:rFonts w:asciiTheme="minorHAnsi" w:hAnsiTheme="minorHAnsi" w:cstheme="minorHAnsi"/>
          <w:sz w:val="22"/>
          <w:lang w:val="en-US"/>
        </w:rPr>
        <w:t xml:space="preserve">BH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00.35pt" o:ole="">
            <v:imagedata r:id="rId12" o:title=""/>
          </v:shape>
          <o:OLEObject Type="Embed" ProgID="Visio.Drawing.15" ShapeID="_x0000_i1025" DrawAspect="Content" ObjectID="_1627459791" r:id="rId13"/>
        </w:object>
      </w:r>
    </w:p>
    <w:p w14:paraId="7A86EC27" w14:textId="5A9CB582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</w:t>
      </w:r>
      <w:r w:rsidR="004B623C">
        <w:rPr>
          <w:rFonts w:asciiTheme="minorHAnsi" w:hAnsiTheme="minorHAnsi" w:cstheme="minorHAnsi"/>
          <w:b/>
          <w:sz w:val="22"/>
          <w:lang w:val="en-US" w:eastAsia="en-GB"/>
        </w:rPr>
        <w:t xml:space="preserve"> </w:t>
      </w:r>
      <w:r w:rsidRPr="00275124">
        <w:rPr>
          <w:rFonts w:asciiTheme="minorHAnsi" w:hAnsiTheme="minorHAnsi" w:cstheme="minorHAnsi"/>
          <w:b/>
          <w:sz w:val="22"/>
          <w:lang w:val="en-US" w:eastAsia="en-GB"/>
        </w:rPr>
        <w:t>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3CE67BD0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>supporting W1 interface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331"/>
      <w:bookmarkStart w:id="2" w:name="_Toc12363920"/>
      <w:bookmarkStart w:id="3" w:name="_Toc16578438"/>
      <w:bookmarkStart w:id="4" w:name="_Toc16764700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1"/>
      <w:bookmarkEnd w:id="2"/>
      <w:bookmarkEnd w:id="3"/>
      <w:bookmarkEnd w:id="4"/>
    </w:p>
    <w:p w14:paraId="55FEEBBD" w14:textId="422E879E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5" w:name="_Toc772332"/>
      <w:bookmarkStart w:id="6" w:name="_Toc12363921"/>
      <w:bookmarkStart w:id="7" w:name="_Toc16578439"/>
      <w:bookmarkStart w:id="8" w:name="_Toc16764701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4B623C">
        <w:rPr>
          <w:rFonts w:asciiTheme="minorHAnsi" w:hAnsiTheme="minorHAnsi" w:cstheme="minorHAnsi"/>
          <w:sz w:val="22"/>
          <w:lang w:val="en-US"/>
        </w:rPr>
        <w:t xml:space="preserve">BH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RLC </w:t>
      </w:r>
      <w:r w:rsidR="004B623C">
        <w:rPr>
          <w:rFonts w:asciiTheme="minorHAnsi" w:hAnsiTheme="minorHAnsi" w:cstheme="minorHAnsi"/>
          <w:sz w:val="22"/>
          <w:lang w:val="en-US"/>
        </w:rPr>
        <w:t>channel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mapping in the IAB node and Donor DU.</w:t>
      </w:r>
      <w:bookmarkEnd w:id="5"/>
      <w:bookmarkEnd w:id="6"/>
      <w:bookmarkEnd w:id="7"/>
      <w:bookmarkEnd w:id="8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651DA396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9" w:name="_Toc772333"/>
      <w:bookmarkStart w:id="10" w:name="_Toc12363922"/>
      <w:bookmarkStart w:id="11" w:name="_Toc16578440"/>
      <w:bookmarkStart w:id="12" w:name="_Toc16764702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</w:t>
      </w:r>
      <w:r w:rsidR="00BE559D">
        <w:rPr>
          <w:rFonts w:asciiTheme="minorHAnsi" w:hAnsiTheme="minorHAnsi" w:cstheme="minorHAnsi"/>
          <w:sz w:val="22"/>
          <w:lang w:val="en-US"/>
        </w:rPr>
        <w:t>/server</w:t>
      </w:r>
      <w:r w:rsidR="00105717">
        <w:rPr>
          <w:rFonts w:asciiTheme="minorHAnsi" w:hAnsiTheme="minorHAnsi" w:cstheme="minorHAnsi"/>
          <w:sz w:val="22"/>
          <w:lang w:val="en-US"/>
        </w:rPr>
        <w:t>,</w:t>
      </w:r>
      <w:r w:rsidR="000147FA">
        <w:rPr>
          <w:rFonts w:asciiTheme="minorHAnsi" w:hAnsiTheme="minorHAnsi" w:cstheme="minorHAnsi"/>
          <w:sz w:val="22"/>
          <w:lang w:val="en-US"/>
        </w:rPr>
        <w:t xml:space="preserve"> or</w:t>
      </w:r>
      <w:r w:rsidR="00105717">
        <w:rPr>
          <w:rFonts w:asciiTheme="minorHAnsi" w:hAnsiTheme="minorHAnsi" w:cstheme="minorHAnsi"/>
          <w:sz w:val="22"/>
          <w:lang w:val="en-US"/>
        </w:rPr>
        <w:t xml:space="preserve"> by using </w:t>
      </w:r>
      <w:r w:rsidR="000147FA">
        <w:rPr>
          <w:rFonts w:asciiTheme="minorHAnsi" w:hAnsiTheme="minorHAnsi" w:cstheme="minorHAnsi"/>
          <w:sz w:val="22"/>
          <w:lang w:val="en-US"/>
        </w:rPr>
        <w:t>other methods</w:t>
      </w:r>
      <w:r w:rsidRPr="00275124">
        <w:rPr>
          <w:rFonts w:asciiTheme="minorHAnsi" w:hAnsiTheme="minorHAnsi" w:cstheme="minorHAnsi"/>
          <w:sz w:val="22"/>
          <w:lang w:val="en-US"/>
        </w:rPr>
        <w:t>.</w:t>
      </w:r>
      <w:bookmarkEnd w:id="9"/>
      <w:bookmarkEnd w:id="10"/>
      <w:bookmarkEnd w:id="11"/>
      <w:bookmarkEnd w:id="12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3B72B6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3B72B6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00E74BE7" w14:textId="77777777" w:rsidR="00BE559D" w:rsidRPr="003B72B6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3B72B6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BE559D" w:rsidRPr="003B72B6">
        <w:rPr>
          <w:rFonts w:asciiTheme="minorHAnsi" w:hAnsiTheme="minorHAnsi" w:cstheme="minorHAnsi"/>
          <w:sz w:val="22"/>
        </w:rPr>
        <w:t>Proposal 1</w:t>
      </w:r>
      <w:r w:rsidR="00BE559D"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E559D" w:rsidRPr="003B72B6">
        <w:rPr>
          <w:rFonts w:asciiTheme="minorHAnsi" w:hAnsiTheme="minorHAnsi" w:cstheme="minorHAnsi"/>
          <w:sz w:val="22"/>
        </w:rPr>
        <w:t>LTE backhauling should be supported in Rel-16 by IAB nodes providing IP/Ethernet connectivity to LTE eNBs (or LTE DUs). The IP anchor point for the LTE nodes can be supported in the Donor DU.</w:t>
      </w:r>
    </w:p>
    <w:p w14:paraId="4457903E" w14:textId="0BABD87C" w:rsidR="00BE559D" w:rsidRPr="003B72B6" w:rsidRDefault="00BE55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sz w:val="22"/>
        </w:rPr>
        <w:t>Proposal 2</w:t>
      </w:r>
      <w:r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72B6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3B72B6">
        <w:rPr>
          <w:rFonts w:asciiTheme="minorHAnsi" w:hAnsiTheme="minorHAnsi" w:cstheme="minorHAnsi"/>
          <w:sz w:val="22"/>
        </w:rPr>
        <w:sym w:font="Wingdings" w:char="F0F3"/>
      </w:r>
      <w:r w:rsidRPr="003B72B6">
        <w:rPr>
          <w:rFonts w:asciiTheme="minorHAnsi" w:hAnsiTheme="minorHAnsi" w:cstheme="minorHAnsi"/>
          <w:sz w:val="22"/>
        </w:rPr>
        <w:t xml:space="preserve"> </w:t>
      </w:r>
      <w:r w:rsidR="004B623C" w:rsidRPr="003B72B6">
        <w:rPr>
          <w:rFonts w:asciiTheme="minorHAnsi" w:hAnsiTheme="minorHAnsi" w:cstheme="minorHAnsi"/>
          <w:sz w:val="22"/>
        </w:rPr>
        <w:t xml:space="preserve">BH </w:t>
      </w:r>
      <w:r w:rsidRPr="003B72B6">
        <w:rPr>
          <w:rFonts w:asciiTheme="minorHAnsi" w:hAnsiTheme="minorHAnsi" w:cstheme="minorHAnsi"/>
          <w:sz w:val="22"/>
        </w:rPr>
        <w:t xml:space="preserve">RLC </w:t>
      </w:r>
      <w:r w:rsidR="004B623C" w:rsidRPr="003B72B6">
        <w:rPr>
          <w:rFonts w:asciiTheme="minorHAnsi" w:hAnsiTheme="minorHAnsi" w:cstheme="minorHAnsi"/>
          <w:sz w:val="22"/>
        </w:rPr>
        <w:t>channel</w:t>
      </w:r>
      <w:r w:rsidRPr="003B72B6">
        <w:rPr>
          <w:rFonts w:asciiTheme="minorHAnsi" w:hAnsiTheme="minorHAnsi" w:cstheme="minorHAnsi"/>
          <w:sz w:val="22"/>
        </w:rPr>
        <w:t xml:space="preserve"> mapping in the IAB node and Donor DU.</w:t>
      </w:r>
    </w:p>
    <w:p w14:paraId="6E45849F" w14:textId="2ED5AFE6" w:rsidR="00BE559D" w:rsidRPr="003B72B6" w:rsidRDefault="00BE55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sz w:val="22"/>
        </w:rPr>
        <w:t>Proposal 3</w:t>
      </w:r>
      <w:r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72B6">
        <w:rPr>
          <w:rFonts w:asciiTheme="minorHAnsi" w:hAnsiTheme="minorHAnsi" w:cstheme="minorHAnsi"/>
          <w:sz w:val="22"/>
        </w:rPr>
        <w:t>IP address management can be provided to the LTE nodes using DHCP, e.g. where the IAB node act as a DHCP relay/server</w:t>
      </w:r>
      <w:r w:rsidR="00105717">
        <w:rPr>
          <w:rFonts w:asciiTheme="minorHAnsi" w:hAnsiTheme="minorHAnsi" w:cstheme="minorHAnsi"/>
          <w:sz w:val="22"/>
        </w:rPr>
        <w:t>, or by using</w:t>
      </w:r>
      <w:r w:rsidRPr="003B72B6">
        <w:rPr>
          <w:rFonts w:asciiTheme="minorHAnsi" w:hAnsiTheme="minorHAnsi" w:cstheme="minorHAnsi"/>
          <w:sz w:val="22"/>
        </w:rPr>
        <w:t xml:space="preserve"> other methods.</w:t>
      </w:r>
    </w:p>
    <w:p w14:paraId="00DD87CF" w14:textId="5D3CCF3D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3B72B6">
        <w:rPr>
          <w:rFonts w:asciiTheme="minorHAnsi" w:hAnsiTheme="minorHAnsi" w:cstheme="minorHAnsi"/>
          <w:sz w:val="22"/>
          <w:szCs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20B9BC02" w14:textId="45BC55A4" w:rsidR="007213F2" w:rsidRPr="00275124" w:rsidRDefault="00610DB3" w:rsidP="00AA0471">
      <w:pPr>
        <w:rPr>
          <w:rFonts w:asciiTheme="minorHAnsi" w:hAnsiTheme="minorHAnsi" w:cstheme="minorHAnsi"/>
          <w:b/>
        </w:rPr>
      </w:pPr>
      <w:r w:rsidRPr="007F01F9">
        <w:rPr>
          <w:rFonts w:asciiTheme="minorHAnsi" w:hAnsiTheme="minorHAnsi" w:cstheme="minorHAnsi"/>
          <w:sz w:val="22"/>
        </w:rPr>
        <w:t>[1] R</w:t>
      </w:r>
      <w:r w:rsidR="00275124" w:rsidRPr="007F01F9">
        <w:rPr>
          <w:rFonts w:asciiTheme="minorHAnsi" w:hAnsiTheme="minorHAnsi" w:cstheme="minorHAnsi"/>
          <w:sz w:val="22"/>
        </w:rPr>
        <w:t>3</w:t>
      </w:r>
      <w:r w:rsidRPr="007F01F9">
        <w:rPr>
          <w:rFonts w:asciiTheme="minorHAnsi" w:hAnsiTheme="minorHAnsi" w:cstheme="minorHAnsi"/>
          <w:sz w:val="22"/>
        </w:rPr>
        <w:t>-</w:t>
      </w:r>
      <w:r w:rsidR="006F58B0" w:rsidRPr="007F01F9">
        <w:rPr>
          <w:rFonts w:asciiTheme="minorHAnsi" w:hAnsiTheme="minorHAnsi" w:cstheme="minorHAnsi"/>
          <w:sz w:val="22"/>
        </w:rPr>
        <w:t>19</w:t>
      </w:r>
      <w:r w:rsidR="00301CEA">
        <w:rPr>
          <w:rFonts w:asciiTheme="minorHAnsi" w:hAnsiTheme="minorHAnsi" w:cstheme="minorHAnsi"/>
          <w:sz w:val="22"/>
        </w:rPr>
        <w:t>3739</w:t>
      </w:r>
      <w:r w:rsidR="00772E0E" w:rsidRPr="007F01F9">
        <w:rPr>
          <w:rFonts w:asciiTheme="minorHAnsi" w:hAnsiTheme="minorHAnsi" w:cstheme="minorHAnsi"/>
          <w:sz w:val="22"/>
        </w:rPr>
        <w:t>;</w:t>
      </w:r>
      <w:r w:rsidRPr="007F01F9">
        <w:rPr>
          <w:rFonts w:asciiTheme="minorHAnsi" w:hAnsiTheme="minorHAnsi" w:cstheme="minorHAnsi"/>
          <w:sz w:val="22"/>
        </w:rPr>
        <w:t xml:space="preserve"> </w:t>
      </w:r>
      <w:r w:rsidR="007707E6">
        <w:rPr>
          <w:rFonts w:asciiTheme="minorHAnsi" w:hAnsiTheme="minorHAnsi" w:cstheme="minorHAnsi"/>
          <w:sz w:val="22"/>
        </w:rPr>
        <w:t>“</w:t>
      </w:r>
      <w:r w:rsidR="00772E0E" w:rsidRPr="007F01F9">
        <w:rPr>
          <w:rFonts w:asciiTheme="minorHAnsi" w:hAnsiTheme="minorHAnsi" w:cstheme="minorHAnsi"/>
          <w:color w:val="333333"/>
          <w:sz w:val="22"/>
          <w:szCs w:val="21"/>
          <w:lang w:val="en"/>
        </w:rPr>
        <w:t>IP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 xml:space="preserve"> Address Assignment for IAB Nodes</w:t>
      </w:r>
      <w:r w:rsidR="007707E6">
        <w:rPr>
          <w:rFonts w:asciiTheme="minorHAnsi" w:hAnsiTheme="minorHAnsi" w:cstheme="minorHAnsi"/>
          <w:color w:val="333333"/>
          <w:sz w:val="22"/>
          <w:szCs w:val="21"/>
          <w:lang w:val="en"/>
        </w:rPr>
        <w:t>”</w:t>
      </w:r>
      <w:r w:rsidRPr="00275124">
        <w:rPr>
          <w:rFonts w:asciiTheme="minorHAnsi" w:hAnsiTheme="minorHAnsi" w:cstheme="minorHAnsi"/>
          <w:sz w:val="22"/>
        </w:rPr>
        <w:t>, Ericsson, RAN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#10</w:t>
      </w:r>
      <w:r w:rsidR="00051340">
        <w:rPr>
          <w:rFonts w:asciiTheme="minorHAnsi" w:hAnsiTheme="minorHAnsi" w:cstheme="minorHAnsi"/>
          <w:sz w:val="22"/>
        </w:rPr>
        <w:t>5</w:t>
      </w:r>
      <w:r w:rsidR="004F5188">
        <w:rPr>
          <w:rFonts w:asciiTheme="minorHAnsi" w:hAnsiTheme="minorHAnsi" w:cstheme="minorHAnsi"/>
          <w:sz w:val="22"/>
        </w:rPr>
        <w:t>, A</w:t>
      </w:r>
      <w:r w:rsidR="00051340">
        <w:rPr>
          <w:rFonts w:asciiTheme="minorHAnsi" w:hAnsiTheme="minorHAnsi" w:cstheme="minorHAnsi"/>
          <w:sz w:val="22"/>
        </w:rPr>
        <w:t>ugust</w:t>
      </w:r>
      <w:r w:rsidR="004F5188">
        <w:rPr>
          <w:rFonts w:asciiTheme="minorHAnsi" w:hAnsiTheme="minorHAnsi" w:cstheme="minorHAnsi"/>
          <w:sz w:val="22"/>
        </w:rPr>
        <w:t xml:space="preserve"> 2019</w:t>
      </w:r>
      <w:r w:rsidR="00772E0E" w:rsidRPr="00275124">
        <w:rPr>
          <w:rFonts w:asciiTheme="minorHAnsi" w:hAnsiTheme="minorHAnsi" w:cstheme="minorHAnsi"/>
          <w:sz w:val="22"/>
        </w:rPr>
        <w:t>.</w:t>
      </w:r>
    </w:p>
    <w:sectPr w:rsidR="007213F2" w:rsidRPr="002751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C8F45" w14:textId="77777777" w:rsidR="005A107B" w:rsidRDefault="005A107B">
      <w:r>
        <w:separator/>
      </w:r>
    </w:p>
  </w:endnote>
  <w:endnote w:type="continuationSeparator" w:id="0">
    <w:p w14:paraId="599881E3" w14:textId="77777777" w:rsidR="005A107B" w:rsidRDefault="005A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E916" w14:textId="77777777" w:rsidR="005A107B" w:rsidRDefault="005A107B">
      <w:r>
        <w:separator/>
      </w:r>
    </w:p>
  </w:footnote>
  <w:footnote w:type="continuationSeparator" w:id="0">
    <w:p w14:paraId="4865E720" w14:textId="77777777" w:rsidR="005A107B" w:rsidRDefault="005A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47FA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1340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4935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717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1CEA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4776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2B6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37F3"/>
    <w:rsid w:val="004B623C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1070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07B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4F5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ADA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7E6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01F9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6D86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317A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1AD6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9F48E6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6D3A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7105"/>
    <w:rsid w:val="00B739F6"/>
    <w:rsid w:val="00B741BF"/>
    <w:rsid w:val="00B751B1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14"/>
    <w:rsid w:val="00BD11BF"/>
    <w:rsid w:val="00BD1233"/>
    <w:rsid w:val="00BD48AC"/>
    <w:rsid w:val="00BD5F1A"/>
    <w:rsid w:val="00BE1234"/>
    <w:rsid w:val="00BE20E7"/>
    <w:rsid w:val="00BE2FA6"/>
    <w:rsid w:val="00BE333F"/>
    <w:rsid w:val="00BE559D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CEA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096B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D6CD-0575-4FFF-939B-52617D63CFB9}"/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7CD880-2845-4060-9B7D-52A5D726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39</TotalTime>
  <Pages>2</Pages>
  <Words>579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53</cp:revision>
  <cp:lastPrinted>2008-01-31T16:09:00Z</cp:lastPrinted>
  <dcterms:created xsi:type="dcterms:W3CDTF">2019-03-18T10:46:00Z</dcterms:created>
  <dcterms:modified xsi:type="dcterms:W3CDTF">2019-08-16T09:22:00Z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bfd812f3-e67a-4cad-97dc-56cd968fcf2a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